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wheel-of-wellness-evidence-base"/>
    <w:p>
      <w:pPr>
        <w:pStyle w:val="Heading1"/>
      </w:pPr>
      <w:r>
        <w:t xml:space="preserve">Wheel of Wellness — Evidence Base</w:t>
      </w:r>
    </w:p>
    <w:p>
      <w:pPr>
        <w:pStyle w:val="FirstParagraph"/>
      </w:pPr>
      <w:r>
        <w:t xml:space="preserve">Each mockup is grounded in one or more validated, peer-reviewed instruments published or</w:t>
      </w:r>
      <w:r>
        <w:t xml:space="preserve"> </w:t>
      </w:r>
      <w:r>
        <w:t xml:space="preserve">validated within the last 10-15 years. Instruments were selected for brevity</w:t>
      </w:r>
      <w:r>
        <w:t xml:space="preserve"> </w:t>
      </w:r>
      <w:r>
        <w:t xml:space="preserve">(5-30 items), accessibility at a 4th-grade reading level where possible, and</w:t>
      </w:r>
      <w:r>
        <w:t xml:space="preserve"> </w:t>
      </w:r>
      <w:r>
        <w:t xml:space="preserve">alignment with the six-dimension wellness framework (Physical, Emotional, Social,</w:t>
      </w:r>
      <w:r>
        <w:t xml:space="preserve"> </w:t>
      </w:r>
      <w:r>
        <w:t xml:space="preserve">Daily Life, Purpose, Growth).</w:t>
      </w:r>
    </w:p>
    <w:p>
      <w:r>
        <w:pict>
          <v:rect style="width:0;height:1.5pt" o:hralign="center" o:hrstd="t" o:hr="t"/>
        </w:pict>
      </w:r>
    </w:p>
    <w:bookmarkStart w:id="20" w:name="generalized-audience"/>
    <w:p>
      <w:pPr>
        <w:pStyle w:val="Heading2"/>
      </w:pPr>
      <w:r>
        <w:t xml:space="preserve">1. Generalized Audience</w:t>
      </w:r>
    </w:p>
    <w:p>
      <w:pPr>
        <w:pStyle w:val="FirstParagraph"/>
      </w:pPr>
      <w:r>
        <w:rPr>
          <w:b/>
          <w:bCs/>
        </w:rPr>
        <w:t xml:space="preserve">Mockup:</w:t>
      </w:r>
      <w:r>
        <w:t xml:space="preserve"> </w:t>
      </w:r>
      <w:r>
        <w:rPr>
          <w:rStyle w:val="VerbatimChar"/>
        </w:rPr>
        <w:t xml:space="preserve">mockup-generalized.html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124"/>
        <w:gridCol w:w="1931"/>
        <w:gridCol w:w="1159"/>
        <w:gridCol w:w="1352"/>
        <w:gridCol w:w="1352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Instrument</w:t>
            </w:r>
          </w:p>
        </w:tc>
        <w:tc>
          <w:tcPr/>
          <w:p>
            <w:pPr>
              <w:pStyle w:val="Compact"/>
            </w:pPr>
            <w:r>
              <w:t xml:space="preserve">Citation</w:t>
            </w:r>
          </w:p>
        </w:tc>
        <w:tc>
          <w:tcPr/>
          <w:p>
            <w:pPr>
              <w:pStyle w:val="Compact"/>
            </w:pPr>
            <w:r>
              <w:t xml:space="preserve">Year</w:t>
            </w:r>
          </w:p>
        </w:tc>
        <w:tc>
          <w:tcPr/>
          <w:p>
            <w:pPr>
              <w:pStyle w:val="Compact"/>
            </w:pPr>
            <w:r>
              <w:t xml:space="preserve">Items</w:t>
            </w:r>
          </w:p>
        </w:tc>
        <w:tc>
          <w:tcPr/>
          <w:p>
            <w:pPr>
              <w:pStyle w:val="Compact"/>
            </w:pPr>
            <w:r>
              <w:t xml:space="preserve">Notes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WHO-5 Well-Being Index</w:t>
            </w:r>
          </w:p>
        </w:tc>
        <w:tc>
          <w:tcPr/>
          <w:p>
            <w:pPr>
              <w:pStyle w:val="Compact"/>
            </w:pPr>
            <w:r>
              <w:t xml:space="preserve">World Health Organization. (1998).</w:t>
            </w:r>
            <w:r>
              <w:t xml:space="preserve"> </w:t>
            </w:r>
            <w:r>
              <w:rPr>
                <w:i/>
                <w:iCs/>
              </w:rPr>
              <w:t xml:space="preserve">Well-being measures in primary health care: The DepCare project.</w:t>
            </w:r>
            <w:r>
              <w:t xml:space="preserve"> </w:t>
            </w:r>
            <w:r>
              <w:t xml:space="preserve">WHO Regional Office for Europe. Re-validated: Topp, C. W., Østergaard, S. D., Søndergaard, S., &amp; Bech, P. (2015). The WHO-5 Well-Being Index: A systematic review of the literature.</w:t>
            </w:r>
            <w:r>
              <w:t xml:space="preserve"> </w:t>
            </w:r>
            <w:r>
              <w:rPr>
                <w:i/>
                <w:iCs/>
              </w:rPr>
              <w:t xml:space="preserve">Psychotherapy and Psychosomatics, 84</w:t>
            </w:r>
            <w:r>
              <w:t xml:space="preserve">(3), 167-176.</w:t>
            </w:r>
          </w:p>
        </w:tc>
        <w:tc>
          <w:tcPr/>
          <w:p>
            <w:pPr>
              <w:pStyle w:val="Compact"/>
            </w:pPr>
            <w:r>
              <w:t xml:space="preserve">1998 / 2015</w:t>
            </w:r>
          </w:p>
        </w:tc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Widely used, free, validated across 30+ languages. Measures subjective psychological well-being over 2 weeks.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PROMIS Global Health-10</w:t>
            </w:r>
          </w:p>
        </w:tc>
        <w:tc>
          <w:tcPr/>
          <w:p>
            <w:pPr>
              <w:pStyle w:val="Compact"/>
            </w:pPr>
            <w:r>
              <w:t xml:space="preserve">Hays, R. D., Bjorner, J. B., Revicki, D. A., Spritzer, K. L., &amp; Cella, D. (2009). Development of physical and mental health summary scores from the Patient-Reported Outcomes Measurement Information System (PROMIS) global items.</w:t>
            </w:r>
            <w:r>
              <w:t xml:space="preserve"> </w:t>
            </w:r>
            <w:r>
              <w:rPr>
                <w:i/>
                <w:iCs/>
              </w:rPr>
              <w:t xml:space="preserve">Quality of Life Research, 18</w:t>
            </w:r>
            <w:r>
              <w:t xml:space="preserve">(7), 873-880. NIH-funded; public domain.</w:t>
            </w:r>
          </w:p>
        </w:tc>
        <w:tc>
          <w:tcPr/>
          <w:p>
            <w:pPr>
              <w:pStyle w:val="Compact"/>
            </w:pPr>
            <w:r>
              <w:t xml:space="preserve">2009 / 2018</w:t>
            </w:r>
          </w:p>
        </w:tc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Free, public-domain. Covers physical, mental, and social health. Validated for general population.</w:t>
            </w:r>
          </w:p>
        </w:tc>
      </w:tr>
    </w:tbl>
    <w:p>
      <w:pPr>
        <w:pStyle w:val="BodyText"/>
      </w:pPr>
      <w:r>
        <w:rPr>
          <w:b/>
          <w:bCs/>
        </w:rPr>
        <w:t xml:space="preserve">Adaptation strategy:</w:t>
      </w:r>
      <w:r>
        <w:t xml:space="preserve"> </w:t>
      </w:r>
      <w:r>
        <w:t xml:space="preserve">WHO-5 items frame emotional/purpose dimensions; PROMIS global items contribute physical and social health language. Questions rewritten at ~4th-grade reading level.</w:t>
      </w:r>
    </w:p>
    <w:p>
      <w:r>
        <w:pict>
          <v:rect style="width:0;height:1.5pt" o:hralign="center" o:hrstd="t" o:hr="t"/>
        </w:pict>
      </w:r>
    </w:p>
    <w:bookmarkEnd w:id="20"/>
    <w:bookmarkStart w:id="21" w:name="parent-caregiver"/>
    <w:p>
      <w:pPr>
        <w:pStyle w:val="Heading2"/>
      </w:pPr>
      <w:r>
        <w:t xml:space="preserve">2. Parent / Caregiver</w:t>
      </w:r>
    </w:p>
    <w:p>
      <w:pPr>
        <w:pStyle w:val="FirstParagraph"/>
      </w:pPr>
      <w:r>
        <w:rPr>
          <w:b/>
          <w:bCs/>
        </w:rPr>
        <w:t xml:space="preserve">Mockup:</w:t>
      </w:r>
      <w:r>
        <w:t xml:space="preserve"> </w:t>
      </w:r>
      <w:r>
        <w:rPr>
          <w:rStyle w:val="VerbatimChar"/>
        </w:rPr>
        <w:t xml:space="preserve">mockup-parent-caregiver.html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124"/>
        <w:gridCol w:w="1931"/>
        <w:gridCol w:w="1159"/>
        <w:gridCol w:w="1352"/>
        <w:gridCol w:w="1352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Instrument</w:t>
            </w:r>
          </w:p>
        </w:tc>
        <w:tc>
          <w:tcPr/>
          <w:p>
            <w:pPr>
              <w:pStyle w:val="Compact"/>
            </w:pPr>
            <w:r>
              <w:t xml:space="preserve">Citation</w:t>
            </w:r>
          </w:p>
        </w:tc>
        <w:tc>
          <w:tcPr/>
          <w:p>
            <w:pPr>
              <w:pStyle w:val="Compact"/>
            </w:pPr>
            <w:r>
              <w:t xml:space="preserve">Year</w:t>
            </w:r>
          </w:p>
        </w:tc>
        <w:tc>
          <w:tcPr/>
          <w:p>
            <w:pPr>
              <w:pStyle w:val="Compact"/>
            </w:pPr>
            <w:r>
              <w:t xml:space="preserve">Items</w:t>
            </w:r>
          </w:p>
        </w:tc>
        <w:tc>
          <w:tcPr/>
          <w:p>
            <w:pPr>
              <w:pStyle w:val="Compact"/>
            </w:pPr>
            <w:r>
              <w:t xml:space="preserve">Notes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Caregiver Well-Being Scale — Short Form (CWBS-SF)</w:t>
            </w:r>
          </w:p>
        </w:tc>
        <w:tc>
          <w:tcPr/>
          <w:p>
            <w:pPr>
              <w:pStyle w:val="Compact"/>
            </w:pPr>
            <w:r>
              <w:t xml:space="preserve">Tebb, S., &amp; Berg-Weger, M. (2016). The Caregiver Well-Being Scale: Developing a short-form rapid assessment instrument.</w:t>
            </w:r>
            <w:r>
              <w:t xml:space="preserve"> </w:t>
            </w:r>
            <w:r>
              <w:rPr>
                <w:i/>
                <w:iCs/>
              </w:rPr>
              <w:t xml:space="preserve">Health &amp; Social Work, 38</w:t>
            </w:r>
            <w:r>
              <w:t xml:space="preserve">(4), 222-230.</w:t>
            </w:r>
          </w:p>
        </w:tc>
        <w:tc>
          <w:tcPr/>
          <w:p>
            <w:pPr>
              <w:pStyle w:val="Compact"/>
            </w:pPr>
            <w:r>
              <w:t xml:space="preserve">2016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Abbreviated from the original 43-item CWBS. Measures basic needs and activities of daily living for caregivers.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CAREPAL-8</w:t>
            </w:r>
          </w:p>
        </w:tc>
        <w:tc>
          <w:tcPr/>
          <w:p>
            <w:pPr>
              <w:pStyle w:val="Compact"/>
            </w:pPr>
            <w:r>
              <w:t xml:space="preserve">CAREPAL Consortium. (2024). The CAREPAL-8: A short screening tool for multidimensional family caregiver burden.</w:t>
            </w:r>
            <w:r>
              <w:t xml:space="preserve"> </w:t>
            </w:r>
            <w:r>
              <w:rPr>
                <w:i/>
                <w:iCs/>
              </w:rPr>
              <w:t xml:space="preserve">BMC Palliative Care, 23</w:t>
            </w:r>
            <w:r>
              <w:t xml:space="preserve">, Article 80.</w:t>
            </w:r>
          </w:p>
        </w:tc>
        <w:tc>
          <w:tcPr/>
          <w:p>
            <w:pPr>
              <w:pStyle w:val="Compact"/>
            </w:pPr>
            <w:r>
              <w:t xml:space="preserve">2024</w:t>
            </w:r>
          </w:p>
        </w:tc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Newest short-form caregiver burden screen. Covers emotional, physical, social, and financial domains.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Preparedness for Caregiving Scale</w:t>
            </w:r>
          </w:p>
        </w:tc>
        <w:tc>
          <w:tcPr/>
          <w:p>
            <w:pPr>
              <w:pStyle w:val="Compact"/>
            </w:pPr>
            <w:r>
              <w:t xml:space="preserve">Archbold, P. G., Stewart, B. J., Greenlick, M. R., &amp; Harvath, T. (1990). Mutuality and preparedness as predictors of caregiver role strain.</w:t>
            </w:r>
            <w:r>
              <w:t xml:space="preserve"> </w:t>
            </w:r>
            <w:r>
              <w:rPr>
                <w:i/>
                <w:iCs/>
              </w:rPr>
              <w:t xml:space="preserve">Research in Nursing &amp; Health, 13</w:t>
            </w:r>
            <w:r>
              <w:t xml:space="preserve">(6), 375-384. Updated validation: Pucciarelli, G., et al. (2014).</w:t>
            </w:r>
            <w:r>
              <w:t xml:space="preserve"> </w:t>
            </w:r>
            <w:r>
              <w:rPr>
                <w:i/>
                <w:iCs/>
              </w:rPr>
              <w:t xml:space="preserve">Journal of Advanced Nursing, 70</w:t>
            </w:r>
            <w:r>
              <w:t xml:space="preserve">(10).</w:t>
            </w:r>
          </w:p>
        </w:tc>
        <w:tc>
          <w:tcPr/>
          <w:p>
            <w:pPr>
              <w:pStyle w:val="Compact"/>
            </w:pPr>
            <w:r>
              <w:t xml:space="preserve">1990 / 2014</w:t>
            </w:r>
          </w:p>
        </w:tc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Measures perceived readiness across multiple caregiving domains.</w:t>
            </w:r>
          </w:p>
        </w:tc>
      </w:tr>
    </w:tbl>
    <w:p>
      <w:pPr>
        <w:pStyle w:val="BodyText"/>
      </w:pPr>
      <w:r>
        <w:rPr>
          <w:b/>
          <w:bCs/>
        </w:rPr>
        <w:t xml:space="preserve">Adaptation strategy:</w:t>
      </w:r>
      <w:r>
        <w:t xml:space="preserve"> </w:t>
      </w:r>
      <w:r>
        <w:t xml:space="preserve">Dual framing for single-parent and two-parent households. Combined CWBS-SF items for self-care neglect with CAREPAL-8 items for multidimensional burden. Added system navigation questions (IEP, insurance, benefits) specific to special-needs caregiving.</w:t>
      </w:r>
    </w:p>
    <w:p>
      <w:r>
        <w:pict>
          <v:rect style="width:0;height:1.5pt" o:hralign="center" o:hrstd="t" o:hr="t"/>
        </w:pict>
      </w:r>
    </w:p>
    <w:bookmarkEnd w:id="21"/>
    <w:bookmarkStart w:id="22" w:name="family-member-household"/>
    <w:p>
      <w:pPr>
        <w:pStyle w:val="Heading2"/>
      </w:pPr>
      <w:r>
        <w:t xml:space="preserve">3. Family Member / Household</w:t>
      </w:r>
    </w:p>
    <w:p>
      <w:pPr>
        <w:pStyle w:val="FirstParagraph"/>
      </w:pPr>
      <w:r>
        <w:rPr>
          <w:b/>
          <w:bCs/>
        </w:rPr>
        <w:t xml:space="preserve">Mockup:</w:t>
      </w:r>
      <w:r>
        <w:t xml:space="preserve"> </w:t>
      </w:r>
      <w:r>
        <w:rPr>
          <w:rStyle w:val="VerbatimChar"/>
        </w:rPr>
        <w:t xml:space="preserve">mockup-family-member.html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124"/>
        <w:gridCol w:w="1931"/>
        <w:gridCol w:w="1159"/>
        <w:gridCol w:w="1352"/>
        <w:gridCol w:w="1352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Instrument</w:t>
            </w:r>
          </w:p>
        </w:tc>
        <w:tc>
          <w:tcPr/>
          <w:p>
            <w:pPr>
              <w:pStyle w:val="Compact"/>
            </w:pPr>
            <w:r>
              <w:t xml:space="preserve">Citation</w:t>
            </w:r>
          </w:p>
        </w:tc>
        <w:tc>
          <w:tcPr/>
          <w:p>
            <w:pPr>
              <w:pStyle w:val="Compact"/>
            </w:pPr>
            <w:r>
              <w:t xml:space="preserve">Year</w:t>
            </w:r>
          </w:p>
        </w:tc>
        <w:tc>
          <w:tcPr/>
          <w:p>
            <w:pPr>
              <w:pStyle w:val="Compact"/>
            </w:pPr>
            <w:r>
              <w:t xml:space="preserve">Items</w:t>
            </w:r>
          </w:p>
        </w:tc>
        <w:tc>
          <w:tcPr/>
          <w:p>
            <w:pPr>
              <w:pStyle w:val="Compact"/>
            </w:pPr>
            <w:r>
              <w:t xml:space="preserve">Notes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Beach Center Family Quality of Life Scale (FQOL)</w:t>
            </w:r>
          </w:p>
        </w:tc>
        <w:tc>
          <w:tcPr/>
          <w:p>
            <w:pPr>
              <w:pStyle w:val="Compact"/>
            </w:pPr>
            <w:r>
              <w:t xml:space="preserve">Hoffman, L., Marquis, J., Poston, D., Summers, J. A., &amp; Turnbull, A. (2006). Assessing family outcomes: Psychometric evaluation of the Beach Center Family Quality of Life Scale.</w:t>
            </w:r>
            <w:r>
              <w:t xml:space="preserve"> </w:t>
            </w:r>
            <w:r>
              <w:rPr>
                <w:i/>
                <w:iCs/>
              </w:rPr>
              <w:t xml:space="preserve">Journal of Marriage and Family, 68</w:t>
            </w:r>
            <w:r>
              <w:t xml:space="preserve">(4), 1069-1083. Updated: Chiu, C. Y., et al. (2020).</w:t>
            </w:r>
            <w:r>
              <w:t xml:space="preserve"> </w:t>
            </w:r>
            <w:r>
              <w:rPr>
                <w:i/>
                <w:iCs/>
              </w:rPr>
              <w:t xml:space="preserve">Journal of Intellectual Disability Research, 64</w:t>
            </w:r>
            <w:r>
              <w:t xml:space="preserve">(1).</w:t>
            </w:r>
          </w:p>
        </w:tc>
        <w:tc>
          <w:tcPr/>
          <w:p>
            <w:pPr>
              <w:pStyle w:val="Compact"/>
            </w:pPr>
            <w:r>
              <w:t xml:space="preserve">2006 / 2020</w:t>
            </w:r>
          </w:p>
        </w:tc>
        <w:tc>
          <w:tcPr/>
          <w:p>
            <w:pPr>
              <w:pStyle w:val="Compact"/>
            </w:pPr>
            <w:r>
              <w:t xml:space="preserve">25</w:t>
            </w:r>
          </w:p>
        </w:tc>
        <w:tc>
          <w:tcPr/>
          <w:p>
            <w:pPr>
              <w:pStyle w:val="Compact"/>
            </w:pPr>
            <w:r>
              <w:t xml:space="preserve">Five subscales: Family Interaction, Parenting, Emotional Well-Being, Physical/Material Well-Being, Disability-Related Support.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Family Quality of Life Survey (FQoLS)</w:t>
            </w:r>
          </w:p>
        </w:tc>
        <w:tc>
          <w:tcPr/>
          <w:p>
            <w:pPr>
              <w:pStyle w:val="Compact"/>
            </w:pPr>
            <w:r>
              <w:t xml:space="preserve">Brown, I., et al. (2006).</w:t>
            </w:r>
            <w:r>
              <w:t xml:space="preserve"> </w:t>
            </w:r>
            <w:r>
              <w:rPr>
                <w:i/>
                <w:iCs/>
              </w:rPr>
              <w:t xml:space="preserve">Family Quality of Life Survey: Main caregivers of people with intellectual or developmental disabilities.</w:t>
            </w:r>
            <w:r>
              <w:t xml:space="preserve"> </w:t>
            </w:r>
            <w:r>
              <w:t xml:space="preserve">Toronto: Surrey Place Centre.</w:t>
            </w:r>
          </w:p>
        </w:tc>
        <w:tc>
          <w:tcPr/>
          <w:p>
            <w:pPr>
              <w:pStyle w:val="Compact"/>
            </w:pPr>
            <w:r>
              <w:t xml:space="preserve">2006</w:t>
            </w:r>
          </w:p>
        </w:tc>
        <w:tc>
          <w:tcPr/>
          <w:p>
            <w:pPr>
              <w:pStyle w:val="Compact"/>
            </w:pPr>
            <w:r>
              <w:t xml:space="preserve">54</w:t>
            </w:r>
          </w:p>
        </w:tc>
        <w:tc>
          <w:tcPr/>
          <w:p>
            <w:pPr>
              <w:pStyle w:val="Compact"/>
            </w:pPr>
            <w:r>
              <w:t xml:space="preserve">Comprehensive family outcomes measure. Short-form adaptations available.</w:t>
            </w:r>
          </w:p>
        </w:tc>
      </w:tr>
    </w:tbl>
    <w:p>
      <w:pPr>
        <w:pStyle w:val="BodyText"/>
      </w:pPr>
      <w:r>
        <w:rPr>
          <w:b/>
          <w:bCs/>
        </w:rPr>
        <w:t xml:space="preserve">Adaptation strategy:</w:t>
      </w:r>
      <w:r>
        <w:t xml:space="preserve"> </w:t>
      </w:r>
      <w:r>
        <w:t xml:space="preserve">Mapped FQOL subscales to the 6-dimension wellness wheel. Family Interaction → Social, Emotional Well-Being → Emotional, Physical/Material → Physical, Disability-Related Support → Daily Life, Parenting → Purpose/Growth.</w:t>
      </w:r>
    </w:p>
    <w:p>
      <w:r>
        <w:pict>
          <v:rect style="width:0;height:1.5pt" o:hralign="center" o:hrstd="t" o:hr="t"/>
        </w:pict>
      </w:r>
    </w:p>
    <w:bookmarkEnd w:id="22"/>
    <w:bookmarkStart w:id="23" w:name="Xd922c5ac9b31b69458bb211b2ff20ac35ff7d51"/>
    <w:p>
      <w:pPr>
        <w:pStyle w:val="Heading2"/>
      </w:pPr>
      <w:r>
        <w:t xml:space="preserve">4. Professionals (Therapists, Counselors, Coaches, Educators)</w:t>
      </w:r>
    </w:p>
    <w:p>
      <w:pPr>
        <w:pStyle w:val="FirstParagraph"/>
      </w:pPr>
      <w:r>
        <w:rPr>
          <w:b/>
          <w:bCs/>
        </w:rPr>
        <w:t xml:space="preserve">Mockup:</w:t>
      </w:r>
      <w:r>
        <w:t xml:space="preserve"> </w:t>
      </w:r>
      <w:r>
        <w:rPr>
          <w:rStyle w:val="VerbatimChar"/>
        </w:rPr>
        <w:t xml:space="preserve">mockup-professional.html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124"/>
        <w:gridCol w:w="1931"/>
        <w:gridCol w:w="1159"/>
        <w:gridCol w:w="1352"/>
        <w:gridCol w:w="1352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Instrument</w:t>
            </w:r>
          </w:p>
        </w:tc>
        <w:tc>
          <w:tcPr/>
          <w:p>
            <w:pPr>
              <w:pStyle w:val="Compact"/>
            </w:pPr>
            <w:r>
              <w:t xml:space="preserve">Citation</w:t>
            </w:r>
          </w:p>
        </w:tc>
        <w:tc>
          <w:tcPr/>
          <w:p>
            <w:pPr>
              <w:pStyle w:val="Compact"/>
            </w:pPr>
            <w:r>
              <w:t xml:space="preserve">Year</w:t>
            </w:r>
          </w:p>
        </w:tc>
        <w:tc>
          <w:tcPr/>
          <w:p>
            <w:pPr>
              <w:pStyle w:val="Compact"/>
            </w:pPr>
            <w:r>
              <w:t xml:space="preserve">Items</w:t>
            </w:r>
          </w:p>
        </w:tc>
        <w:tc>
          <w:tcPr/>
          <w:p>
            <w:pPr>
              <w:pStyle w:val="Compact"/>
            </w:pPr>
            <w:r>
              <w:t xml:space="preserve">Notes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Professional Quality of Life Scale (ProQOL-5)</w:t>
            </w:r>
          </w:p>
        </w:tc>
        <w:tc>
          <w:tcPr/>
          <w:p>
            <w:pPr>
              <w:pStyle w:val="Compact"/>
            </w:pPr>
            <w:r>
              <w:t xml:space="preserve">Stamm, B. H. (2010).</w:t>
            </w:r>
            <w:r>
              <w:t xml:space="preserve"> </w:t>
            </w:r>
            <w:r>
              <w:rPr>
                <w:i/>
                <w:iCs/>
              </w:rPr>
              <w:t xml:space="preserve">The Concise ProQOL Manual</w:t>
            </w:r>
            <w:r>
              <w:t xml:space="preserve"> </w:t>
            </w:r>
            <w:r>
              <w:t xml:space="preserve">(2nd ed.). Pocatello, ID: ProQOL.org.</w:t>
            </w:r>
          </w:p>
        </w:tc>
        <w:tc>
          <w:tcPr/>
          <w:p>
            <w:pPr>
              <w:pStyle w:val="Compact"/>
            </w:pPr>
            <w:r>
              <w:t xml:space="preserve">2010</w:t>
            </w:r>
          </w:p>
        </w:tc>
        <w:tc>
          <w:tcPr/>
          <w:p>
            <w:pPr>
              <w:pStyle w:val="Compact"/>
            </w:pPr>
            <w:r>
              <w:t xml:space="preserve">30</w:t>
            </w:r>
          </w:p>
        </w:tc>
        <w:tc>
          <w:tcPr/>
          <w:p>
            <w:pPr>
              <w:pStyle w:val="Compact"/>
            </w:pPr>
            <w:r>
              <w:t xml:space="preserve">Three subscales: Compassion Satisfaction (10 items), Burnout (10 items), Secondary Traumatic Stress (10 items). Gold standard for helping-profession wellness screening.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Oldenburg Burnout Inventory (OLBI)</w:t>
            </w:r>
          </w:p>
        </w:tc>
        <w:tc>
          <w:tcPr/>
          <w:p>
            <w:pPr>
              <w:pStyle w:val="Compact"/>
            </w:pPr>
            <w:r>
              <w:t xml:space="preserve">Demerouti, E., Bakker, A. B., Vardakou, I., &amp; Kantas, A. (2003). The convergent validity of two burnout instruments.</w:t>
            </w:r>
            <w:r>
              <w:t xml:space="preserve"> </w:t>
            </w:r>
            <w:r>
              <w:rPr>
                <w:i/>
                <w:iCs/>
              </w:rPr>
              <w:t xml:space="preserve">European Journal of Psychological Assessment, 19</w:t>
            </w:r>
            <w:r>
              <w:t xml:space="preserve">(1), 12-23. Updated: Reis, D., et al. (2015).</w:t>
            </w:r>
            <w:r>
              <w:t xml:space="preserve"> </w:t>
            </w:r>
            <w:r>
              <w:rPr>
                <w:i/>
                <w:iCs/>
              </w:rPr>
              <w:t xml:space="preserve">BMC Public Health, 15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2003 / 2015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Measures exhaustion and disengagement. Validated across professions.</w:t>
            </w:r>
          </w:p>
        </w:tc>
      </w:tr>
    </w:tbl>
    <w:p>
      <w:pPr>
        <w:pStyle w:val="BodyText"/>
      </w:pPr>
      <w:r>
        <w:rPr>
          <w:b/>
          <w:bCs/>
        </w:rPr>
        <w:t xml:space="preserve">Adaptation strategy:</w:t>
      </w:r>
      <w:r>
        <w:t xml:space="preserve"> </w:t>
      </w:r>
      <w:r>
        <w:t xml:space="preserve">Blended ProQOL-5 items (compassion satisfaction, burnout, secondary trauma) with the 6-dimension personal wellness framework. Added work-life boundary and peer consultation items specific to clinical/coaching practice.</w:t>
      </w:r>
    </w:p>
    <w:p>
      <w:r>
        <w:pict>
          <v:rect style="width:0;height:1.5pt" o:hralign="center" o:hrstd="t" o:hr="t"/>
        </w:pict>
      </w:r>
    </w:p>
    <w:bookmarkEnd w:id="23"/>
    <w:bookmarkStart w:id="24" w:name="special-needs-accessible-format"/>
    <w:p>
      <w:pPr>
        <w:pStyle w:val="Heading2"/>
      </w:pPr>
      <w:r>
        <w:t xml:space="preserve">5. Special Needs / Accessible Format</w:t>
      </w:r>
    </w:p>
    <w:p>
      <w:pPr>
        <w:pStyle w:val="FirstParagraph"/>
      </w:pPr>
      <w:r>
        <w:rPr>
          <w:b/>
          <w:bCs/>
        </w:rPr>
        <w:t xml:space="preserve">Mockup:</w:t>
      </w:r>
      <w:r>
        <w:t xml:space="preserve"> </w:t>
      </w:r>
      <w:r>
        <w:rPr>
          <w:rStyle w:val="VerbatimChar"/>
        </w:rPr>
        <w:t xml:space="preserve">mockup-special-needs.html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124"/>
        <w:gridCol w:w="1931"/>
        <w:gridCol w:w="1159"/>
        <w:gridCol w:w="1352"/>
        <w:gridCol w:w="1352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Instrument</w:t>
            </w:r>
          </w:p>
        </w:tc>
        <w:tc>
          <w:tcPr/>
          <w:p>
            <w:pPr>
              <w:pStyle w:val="Compact"/>
            </w:pPr>
            <w:r>
              <w:t xml:space="preserve">Citation</w:t>
            </w:r>
          </w:p>
        </w:tc>
        <w:tc>
          <w:tcPr/>
          <w:p>
            <w:pPr>
              <w:pStyle w:val="Compact"/>
            </w:pPr>
            <w:r>
              <w:t xml:space="preserve">Year</w:t>
            </w:r>
          </w:p>
        </w:tc>
        <w:tc>
          <w:tcPr/>
          <w:p>
            <w:pPr>
              <w:pStyle w:val="Compact"/>
            </w:pPr>
            <w:r>
              <w:t xml:space="preserve">Items</w:t>
            </w:r>
          </w:p>
        </w:tc>
        <w:tc>
          <w:tcPr/>
          <w:p>
            <w:pPr>
              <w:pStyle w:val="Compact"/>
            </w:pPr>
            <w:r>
              <w:t xml:space="preserve">Notes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Personal Wellbeing Index — Intellectual Disability (PWI-ID)</w:t>
            </w:r>
          </w:p>
        </w:tc>
        <w:tc>
          <w:tcPr/>
          <w:p>
            <w:pPr>
              <w:pStyle w:val="Compact"/>
            </w:pPr>
            <w:r>
              <w:t xml:space="preserve">Cummins, R. A., &amp; Lau, A. L. D. (2005).</w:t>
            </w:r>
            <w:r>
              <w:t xml:space="preserve"> </w:t>
            </w:r>
            <w:r>
              <w:rPr>
                <w:i/>
                <w:iCs/>
              </w:rPr>
              <w:t xml:space="preserve">Personal Wellbeing Index — Intellectual Disability</w:t>
            </w:r>
            <w:r>
              <w:t xml:space="preserve"> </w:t>
            </w:r>
            <w:r>
              <w:t xml:space="preserve">(3rd ed.). Melbourne: Australian Centre on Quality of Life, Deakin University.</w:t>
            </w:r>
          </w:p>
        </w:tc>
        <w:tc>
          <w:tcPr/>
          <w:p>
            <w:pPr>
              <w:pStyle w:val="Compact"/>
            </w:pPr>
            <w:r>
              <w:t xml:space="preserve">2005</w:t>
            </w:r>
          </w:p>
        </w:tc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Uses simplified language and visual/concrete anchors. Validated with adults with mild to moderate ID.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San Martin Scale</w:t>
            </w:r>
          </w:p>
        </w:tc>
        <w:tc>
          <w:tcPr/>
          <w:p>
            <w:pPr>
              <w:pStyle w:val="Compact"/>
            </w:pPr>
            <w:r>
              <w:t xml:space="preserve">Verdugo, M. A., et al. (2014).</w:t>
            </w:r>
            <w:r>
              <w:t xml:space="preserve"> </w:t>
            </w:r>
            <w:r>
              <w:rPr>
                <w:i/>
                <w:iCs/>
              </w:rPr>
              <w:t xml:space="preserve">Journal of Applied Research in Intellectual Disabilities, 27</w:t>
            </w:r>
            <w:r>
              <w:t xml:space="preserve">(1).</w:t>
            </w:r>
          </w:p>
        </w:tc>
        <w:tc>
          <w:tcPr/>
          <w:p>
            <w:pPr>
              <w:pStyle w:val="Compact"/>
            </w:pPr>
            <w:r>
              <w:t xml:space="preserve">2014</w:t>
            </w:r>
          </w:p>
        </w:tc>
        <w:tc>
          <w:tcPr/>
          <w:p>
            <w:pPr>
              <w:pStyle w:val="Compact"/>
            </w:pPr>
            <w:r>
              <w:t xml:space="preserve">95</w:t>
            </w:r>
          </w:p>
        </w:tc>
        <w:tc>
          <w:tcPr/>
          <w:p>
            <w:pPr>
              <w:pStyle w:val="Compact"/>
            </w:pPr>
            <w:r>
              <w:t xml:space="preserve">Comprehensive quality of life scale for people with significant disabilities. Short-form available.</w:t>
            </w:r>
          </w:p>
        </w:tc>
      </w:tr>
    </w:tbl>
    <w:p>
      <w:pPr>
        <w:pStyle w:val="BodyText"/>
      </w:pPr>
      <w:r>
        <w:rPr>
          <w:b/>
          <w:bCs/>
        </w:rPr>
        <w:t xml:space="preserve">Adaptation strategy:</w:t>
      </w:r>
      <w:r>
        <w:t xml:space="preserve"> </w:t>
      </w:r>
      <w:r>
        <w:t xml:space="preserve">Emoji-based 5-point response scale (😟→😄) replacing Likert-type text. Concrete, single-concept questions (</w:t>
      </w:r>
      <w:r>
        <w:t xml:space="preserve">“How do you feel about your health?”</w:t>
      </w:r>
      <w:r>
        <w:t xml:space="preserve">). Larger text, high-contrast colors, simplified vocabulary throughout. 12 items instead of 18. Support person may assist.</w:t>
      </w:r>
    </w:p>
    <w:p>
      <w:r>
        <w:pict>
          <v:rect style="width:0;height:1.5pt" o:hralign="center" o:hrstd="t" o:hr="t"/>
        </w:pict>
      </w:r>
    </w:p>
    <w:bookmarkEnd w:id="24"/>
    <w:bookmarkStart w:id="25" w:name="cross-cutting-frameworks"/>
    <w:p>
      <w:pPr>
        <w:pStyle w:val="Heading2"/>
      </w:pPr>
      <w:r>
        <w:t xml:space="preserve">Cross-Cutting Frameworks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Six-Dimension Wellness Model:</w:t>
      </w:r>
      <w:r>
        <w:t xml:space="preserve"> </w:t>
      </w:r>
      <w:r>
        <w:t xml:space="preserve">Adapted from the National Wellness Institute (NWI) and Adams et al. (1997) with the</w:t>
      </w:r>
      <w:r>
        <w:t xml:space="preserve"> </w:t>
      </w:r>
      <w:r>
        <w:t xml:space="preserve">“Occupational”</w:t>
      </w:r>
      <w:r>
        <w:t xml:space="preserve"> </w:t>
      </w:r>
      <w:r>
        <w:t xml:space="preserve">dimension reframed as</w:t>
      </w:r>
      <w:r>
        <w:t xml:space="preserve"> </w:t>
      </w:r>
      <w:r>
        <w:t xml:space="preserve">“Daily Life”</w:t>
      </w:r>
      <w:r>
        <w:t xml:space="preserve"> </w:t>
      </w:r>
      <w:r>
        <w:t xml:space="preserve">(based on PWI-ID</w:t>
      </w:r>
      <w:r>
        <w:t xml:space="preserve"> </w:t>
      </w:r>
      <w:r>
        <w:t xml:space="preserve">“safety/future security”</w:t>
      </w:r>
      <w:r>
        <w:t xml:space="preserve"> </w:t>
      </w:r>
      <w:r>
        <w:t xml:space="preserve">domain and FQOL</w:t>
      </w:r>
      <w:r>
        <w:t xml:space="preserve"> </w:t>
      </w:r>
      <w:r>
        <w:t xml:space="preserve">“disability-related support”</w:t>
      </w:r>
      <w:r>
        <w:t xml:space="preserve"> </w:t>
      </w:r>
      <w:r>
        <w:t xml:space="preserve">domain).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4th-Grade Reading Level:</w:t>
      </w:r>
      <w:r>
        <w:t xml:space="preserve"> </w:t>
      </w:r>
      <w:r>
        <w:t xml:space="preserve">All question text reviewed against Flesch-Kincaid Grade Level targets (&lt; 4.5). Simple sentence structure, no compound clauses, high-frequency vocabulary.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Trauma-Informed Design:</w:t>
      </w:r>
      <w:r>
        <w:t xml:space="preserve"> </w:t>
      </w:r>
      <w:r>
        <w:t xml:space="preserve">No mandatory identifiers, no account required, downloadable results under user control, clear</w:t>
      </w:r>
      <w:r>
        <w:t xml:space="preserve"> </w:t>
      </w:r>
      <w:r>
        <w:t xml:space="preserve">“your answers are private”</w:t>
      </w:r>
      <w:r>
        <w:t xml:space="preserve"> </w:t>
      </w:r>
      <w:r>
        <w:t xml:space="preserve">messaging.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i/>
          <w:iCs/>
        </w:rPr>
        <w:t xml:space="preserve">Last updated: July 2026</w:t>
      </w:r>
      <w:r>
        <w:t xml:space="preserve"> </w:t>
      </w:r>
      <w:r>
        <w:rPr>
          <w:i/>
          <w:iCs/>
        </w:rPr>
        <w:t xml:space="preserve">All instruments cited are available for clinical and research use. Some require author permission for commercial use — verify licensing before deployment.</w:t>
      </w:r>
    </w:p>
    <w:bookmarkEnd w:id="25"/>
    <w:bookmarkEnd w:id="2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2026-07-03T06:32:06Z</dcterms:created>
  <dcterms:modified xsi:type="dcterms:W3CDTF">2026-07-03T06:32:06Z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